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91" w:rsidRPr="0089216D" w:rsidRDefault="003D2A91" w:rsidP="003D2A91">
      <w:pPr>
        <w:jc w:val="center"/>
        <w:rPr>
          <w:b/>
          <w:bCs/>
          <w:color w:val="000000"/>
          <w:spacing w:val="30"/>
          <w:sz w:val="28"/>
          <w:szCs w:val="28"/>
          <w:lang w:val="uk-UA"/>
        </w:rPr>
      </w:pPr>
      <w:r w:rsidRPr="0089216D">
        <w:rPr>
          <w:noProof/>
          <w:color w:val="000000"/>
          <w:sz w:val="28"/>
          <w:szCs w:val="28"/>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89216D" w:rsidRDefault="003D2A91" w:rsidP="003D2A91">
      <w:pPr>
        <w:pStyle w:val="1"/>
        <w:spacing w:before="120"/>
        <w:jc w:val="center"/>
        <w:rPr>
          <w:rFonts w:ascii="Times New Roman" w:hAnsi="Times New Roman"/>
          <w:caps/>
          <w:color w:val="000000"/>
          <w:sz w:val="24"/>
          <w:szCs w:val="24"/>
          <w:lang w:val="uk-UA"/>
        </w:rPr>
      </w:pPr>
      <w:r w:rsidRPr="0089216D">
        <w:rPr>
          <w:rFonts w:ascii="Times New Roman" w:hAnsi="Times New Roman"/>
          <w:caps/>
          <w:color w:val="000000"/>
          <w:sz w:val="24"/>
          <w:szCs w:val="24"/>
          <w:lang w:val="uk-UA"/>
        </w:rPr>
        <w:t>Україна</w:t>
      </w:r>
    </w:p>
    <w:p w:rsidR="003D2A91" w:rsidRPr="0089216D" w:rsidRDefault="00777ADE"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89216D">
        <w:rPr>
          <w:spacing w:val="40"/>
          <w:sz w:val="28"/>
          <w:szCs w:val="28"/>
          <w:lang w:val="uk-UA"/>
        </w:rPr>
        <w:t xml:space="preserve">РАДА </w:t>
      </w:r>
    </w:p>
    <w:p w:rsidR="003D2A91" w:rsidRPr="0089216D" w:rsidRDefault="003D2A91" w:rsidP="003D2A91">
      <w:pPr>
        <w:pStyle w:val="2"/>
        <w:spacing w:before="120"/>
        <w:jc w:val="center"/>
        <w:rPr>
          <w:spacing w:val="40"/>
          <w:sz w:val="28"/>
          <w:szCs w:val="28"/>
          <w:lang w:val="uk-UA"/>
        </w:rPr>
      </w:pPr>
      <w:r w:rsidRPr="0089216D">
        <w:rPr>
          <w:spacing w:val="40"/>
          <w:sz w:val="28"/>
          <w:szCs w:val="28"/>
          <w:lang w:val="uk-UA"/>
        </w:rPr>
        <w:t>ЧЕРНІГІВСЬКОЇ ОБЛАСТІ</w:t>
      </w:r>
    </w:p>
    <w:p w:rsidR="003D2A91" w:rsidRPr="0089216D" w:rsidRDefault="003D2A91" w:rsidP="003D2A91">
      <w:pPr>
        <w:pStyle w:val="2"/>
        <w:jc w:val="center"/>
        <w:rPr>
          <w:spacing w:val="40"/>
          <w:sz w:val="28"/>
          <w:szCs w:val="28"/>
          <w:lang w:val="uk-UA"/>
        </w:rPr>
      </w:pPr>
      <w:r w:rsidRPr="0089216D">
        <w:rPr>
          <w:spacing w:val="40"/>
          <w:sz w:val="28"/>
          <w:szCs w:val="28"/>
          <w:lang w:val="uk-UA"/>
        </w:rPr>
        <w:t>Виконавчий комітет</w:t>
      </w:r>
    </w:p>
    <w:p w:rsidR="003D2A91" w:rsidRPr="0089216D" w:rsidRDefault="003D2A91" w:rsidP="003D2A91">
      <w:pPr>
        <w:pStyle w:val="2"/>
        <w:ind w:left="1440" w:hanging="1440"/>
        <w:jc w:val="center"/>
        <w:rPr>
          <w:bCs w:val="0"/>
          <w:caps/>
          <w:color w:val="000000"/>
          <w:spacing w:val="100"/>
          <w:sz w:val="28"/>
          <w:szCs w:val="28"/>
          <w:lang w:val="uk-UA"/>
        </w:rPr>
      </w:pPr>
      <w:r w:rsidRPr="0089216D">
        <w:rPr>
          <w:bCs w:val="0"/>
          <w:caps/>
          <w:color w:val="000000"/>
          <w:spacing w:val="100"/>
          <w:sz w:val="28"/>
          <w:szCs w:val="28"/>
          <w:lang w:val="uk-UA"/>
        </w:rPr>
        <w:t>РІШЕННЯ</w:t>
      </w:r>
    </w:p>
    <w:p w:rsidR="00243907" w:rsidRPr="0089216D" w:rsidRDefault="0024709E" w:rsidP="003D2A91">
      <w:pPr>
        <w:pStyle w:val="2"/>
        <w:spacing w:before="0" w:beforeAutospacing="0" w:after="0" w:afterAutospacing="0"/>
        <w:rPr>
          <w:b w:val="0"/>
          <w:sz w:val="28"/>
          <w:szCs w:val="28"/>
          <w:lang w:val="uk-UA"/>
        </w:rPr>
      </w:pPr>
      <w:r>
        <w:rPr>
          <w:b w:val="0"/>
          <w:sz w:val="28"/>
          <w:szCs w:val="28"/>
          <w:lang w:val="uk-UA"/>
        </w:rPr>
        <w:t>01</w:t>
      </w:r>
      <w:r w:rsidR="00777ADE">
        <w:rPr>
          <w:b w:val="0"/>
          <w:sz w:val="28"/>
          <w:szCs w:val="28"/>
          <w:lang w:val="uk-UA"/>
        </w:rPr>
        <w:t xml:space="preserve"> </w:t>
      </w:r>
      <w:r>
        <w:rPr>
          <w:b w:val="0"/>
          <w:sz w:val="28"/>
          <w:szCs w:val="28"/>
          <w:lang w:val="uk-UA"/>
        </w:rPr>
        <w:t>жовтня</w:t>
      </w:r>
      <w:r w:rsidR="00777ADE">
        <w:rPr>
          <w:b w:val="0"/>
          <w:sz w:val="28"/>
          <w:szCs w:val="28"/>
          <w:lang w:val="uk-UA"/>
        </w:rPr>
        <w:t xml:space="preserve"> </w:t>
      </w:r>
      <w:r w:rsidR="003D2A91" w:rsidRPr="0089216D">
        <w:rPr>
          <w:b w:val="0"/>
          <w:sz w:val="28"/>
          <w:szCs w:val="28"/>
          <w:lang w:val="uk-UA"/>
        </w:rPr>
        <w:t>20</w:t>
      </w:r>
      <w:r w:rsidR="004A0959" w:rsidRPr="0089216D">
        <w:rPr>
          <w:b w:val="0"/>
          <w:sz w:val="28"/>
          <w:szCs w:val="28"/>
          <w:lang w:val="uk-UA"/>
        </w:rPr>
        <w:t>2</w:t>
      </w:r>
      <w:r w:rsidR="004D074D" w:rsidRPr="0089216D">
        <w:rPr>
          <w:b w:val="0"/>
          <w:sz w:val="28"/>
          <w:szCs w:val="28"/>
          <w:lang w:val="uk-UA"/>
        </w:rPr>
        <w:t>1</w:t>
      </w:r>
      <w:r w:rsidR="003D2A91" w:rsidRPr="0089216D">
        <w:rPr>
          <w:b w:val="0"/>
          <w:sz w:val="28"/>
          <w:szCs w:val="28"/>
          <w:lang w:val="uk-UA"/>
        </w:rPr>
        <w:t xml:space="preserve"> року                                                 </w:t>
      </w:r>
    </w:p>
    <w:p w:rsidR="003D2A91" w:rsidRPr="0089216D" w:rsidRDefault="003D2A91" w:rsidP="003D2A91">
      <w:pPr>
        <w:pStyle w:val="2"/>
        <w:spacing w:before="0" w:beforeAutospacing="0" w:after="0" w:afterAutospacing="0"/>
        <w:rPr>
          <w:b w:val="0"/>
          <w:sz w:val="28"/>
          <w:szCs w:val="28"/>
          <w:lang w:val="uk-UA"/>
        </w:rPr>
      </w:pPr>
      <w:r w:rsidRPr="0089216D">
        <w:rPr>
          <w:b w:val="0"/>
          <w:sz w:val="28"/>
          <w:szCs w:val="28"/>
          <w:lang w:val="uk-UA"/>
        </w:rPr>
        <w:t>смт. Козелець</w:t>
      </w:r>
    </w:p>
    <w:p w:rsidR="003D2A91" w:rsidRPr="0089216D" w:rsidRDefault="003D2A91" w:rsidP="003D2A91">
      <w:pPr>
        <w:pStyle w:val="2"/>
        <w:spacing w:before="0" w:beforeAutospacing="0" w:after="0" w:afterAutospacing="0"/>
        <w:rPr>
          <w:b w:val="0"/>
          <w:sz w:val="28"/>
          <w:szCs w:val="28"/>
          <w:lang w:val="uk-UA"/>
        </w:rPr>
      </w:pPr>
    </w:p>
    <w:p w:rsidR="003D2A91" w:rsidRPr="0089216D" w:rsidRDefault="003D2A91" w:rsidP="003D2A91">
      <w:pPr>
        <w:pStyle w:val="2"/>
        <w:spacing w:before="0" w:beforeAutospacing="0" w:after="0" w:afterAutospacing="0"/>
        <w:rPr>
          <w:b w:val="0"/>
          <w:sz w:val="28"/>
          <w:szCs w:val="28"/>
          <w:lang w:val="uk-UA"/>
        </w:rPr>
      </w:pPr>
      <w:r w:rsidRPr="0089216D">
        <w:rPr>
          <w:b w:val="0"/>
          <w:sz w:val="28"/>
          <w:szCs w:val="28"/>
          <w:lang w:val="uk-UA"/>
        </w:rPr>
        <w:t>№</w:t>
      </w:r>
      <w:r w:rsidR="007F6BF1">
        <w:rPr>
          <w:b w:val="0"/>
          <w:sz w:val="28"/>
          <w:szCs w:val="28"/>
          <w:lang w:val="uk-UA"/>
        </w:rPr>
        <w:t xml:space="preserve"> 325</w:t>
      </w:r>
      <w:r w:rsidR="00242859" w:rsidRPr="0089216D">
        <w:rPr>
          <w:b w:val="0"/>
          <w:sz w:val="28"/>
          <w:szCs w:val="28"/>
          <w:lang w:val="uk-UA"/>
        </w:rPr>
        <w:t>-</w:t>
      </w:r>
      <w:r w:rsidR="0024709E">
        <w:rPr>
          <w:b w:val="0"/>
          <w:sz w:val="28"/>
          <w:szCs w:val="28"/>
          <w:lang w:val="uk-UA"/>
        </w:rPr>
        <w:t>20</w:t>
      </w:r>
      <w:r w:rsidRPr="0089216D">
        <w:rPr>
          <w:b w:val="0"/>
          <w:color w:val="000000"/>
          <w:sz w:val="28"/>
          <w:szCs w:val="28"/>
          <w:shd w:val="clear" w:color="auto" w:fill="FFFFFF"/>
          <w:lang w:val="uk-UA"/>
        </w:rPr>
        <w:t>/</w:t>
      </w:r>
      <w:r w:rsidRPr="0089216D">
        <w:rPr>
          <w:b w:val="0"/>
          <w:sz w:val="28"/>
          <w:szCs w:val="28"/>
          <w:lang w:val="uk-UA"/>
        </w:rPr>
        <w:t>VIII</w:t>
      </w:r>
    </w:p>
    <w:p w:rsidR="003D2A91" w:rsidRPr="0089216D" w:rsidRDefault="003D2A91" w:rsidP="003D2A91">
      <w:pPr>
        <w:pStyle w:val="2"/>
        <w:spacing w:before="0" w:beforeAutospacing="0" w:after="0" w:afterAutospacing="0"/>
        <w:rPr>
          <w:b w:val="0"/>
          <w:sz w:val="28"/>
          <w:szCs w:val="28"/>
          <w:lang w:val="uk-UA"/>
        </w:rPr>
      </w:pPr>
    </w:p>
    <w:p w:rsidR="00F6721F" w:rsidRPr="0024709E" w:rsidRDefault="008647EC" w:rsidP="00AC6CA3">
      <w:pPr>
        <w:rPr>
          <w:sz w:val="28"/>
          <w:szCs w:val="28"/>
          <w:lang w:val="uk-UA"/>
        </w:rPr>
      </w:pPr>
      <w:r w:rsidRPr="0089216D">
        <w:rPr>
          <w:sz w:val="28"/>
          <w:szCs w:val="28"/>
          <w:lang w:val="uk-UA"/>
        </w:rPr>
        <w:t xml:space="preserve">Про </w:t>
      </w:r>
      <w:r w:rsidR="00042F5C" w:rsidRPr="0089216D">
        <w:rPr>
          <w:sz w:val="28"/>
          <w:szCs w:val="28"/>
          <w:lang w:val="uk-UA"/>
        </w:rPr>
        <w:t xml:space="preserve">передачу </w:t>
      </w:r>
      <w:r w:rsidR="0024709E">
        <w:rPr>
          <w:sz w:val="28"/>
          <w:szCs w:val="28"/>
          <w:lang w:val="uk-UA"/>
        </w:rPr>
        <w:t>майна</w:t>
      </w:r>
      <w:r w:rsidR="00AC1EB4">
        <w:rPr>
          <w:sz w:val="28"/>
          <w:szCs w:val="28"/>
          <w:lang w:val="uk-UA"/>
        </w:rPr>
        <w:t xml:space="preserve"> </w:t>
      </w:r>
      <w:r w:rsidRPr="0089216D">
        <w:rPr>
          <w:sz w:val="28"/>
          <w:szCs w:val="28"/>
          <w:lang w:val="uk-UA"/>
        </w:rPr>
        <w:t>Козелецької селищної ради</w:t>
      </w:r>
    </w:p>
    <w:p w:rsidR="00AC6CA3" w:rsidRPr="0089216D" w:rsidRDefault="00AC6CA3" w:rsidP="00AC6CA3">
      <w:pPr>
        <w:rPr>
          <w:sz w:val="28"/>
          <w:szCs w:val="28"/>
          <w:bdr w:val="none" w:sz="0" w:space="0" w:color="auto" w:frame="1"/>
          <w:lang w:val="uk-UA"/>
        </w:rPr>
      </w:pPr>
      <w:r w:rsidRPr="0089216D">
        <w:rPr>
          <w:sz w:val="28"/>
          <w:szCs w:val="28"/>
          <w:bdr w:val="none" w:sz="0" w:space="0" w:color="auto" w:frame="1"/>
          <w:lang w:val="uk-UA"/>
        </w:rPr>
        <w:t>на відповідальне безоплатне зберігання,</w:t>
      </w:r>
    </w:p>
    <w:p w:rsidR="00243907" w:rsidRPr="0089216D" w:rsidRDefault="00AC6CA3" w:rsidP="00AC6CA3">
      <w:pPr>
        <w:tabs>
          <w:tab w:val="left" w:pos="2310"/>
        </w:tabs>
        <w:rPr>
          <w:sz w:val="28"/>
          <w:szCs w:val="28"/>
          <w:lang w:val="uk-UA"/>
        </w:rPr>
      </w:pPr>
      <w:r w:rsidRPr="0089216D">
        <w:rPr>
          <w:sz w:val="28"/>
          <w:szCs w:val="28"/>
          <w:bdr w:val="none" w:sz="0" w:space="0" w:color="auto" w:frame="1"/>
          <w:lang w:val="uk-UA"/>
        </w:rPr>
        <w:t>яка передбачає позабалансовий облік</w:t>
      </w:r>
      <w:r w:rsidR="000D30F9">
        <w:rPr>
          <w:sz w:val="28"/>
          <w:szCs w:val="28"/>
          <w:bdr w:val="none" w:sz="0" w:space="0" w:color="auto" w:frame="1"/>
          <w:lang w:val="uk-UA"/>
        </w:rPr>
        <w:t>,</w:t>
      </w:r>
      <w:r w:rsidRPr="0089216D">
        <w:rPr>
          <w:sz w:val="28"/>
          <w:szCs w:val="28"/>
          <w:bdr w:val="none" w:sz="0" w:space="0" w:color="auto" w:frame="1"/>
          <w:lang w:val="uk-UA"/>
        </w:rPr>
        <w:t xml:space="preserve"> </w:t>
      </w:r>
    </w:p>
    <w:p w:rsidR="00AC6CA3" w:rsidRPr="0089216D" w:rsidRDefault="00AC6CA3" w:rsidP="00AC6CA3">
      <w:pPr>
        <w:tabs>
          <w:tab w:val="left" w:pos="2310"/>
        </w:tabs>
        <w:rPr>
          <w:sz w:val="28"/>
          <w:szCs w:val="28"/>
          <w:lang w:val="uk-UA"/>
        </w:rPr>
      </w:pPr>
      <w:r w:rsidRPr="0089216D">
        <w:rPr>
          <w:sz w:val="28"/>
          <w:szCs w:val="28"/>
          <w:lang w:val="uk-UA"/>
        </w:rPr>
        <w:t xml:space="preserve">Головному управлінню Пенсійного фонду </w:t>
      </w:r>
    </w:p>
    <w:p w:rsidR="00AC6CA3" w:rsidRPr="0089216D" w:rsidRDefault="00AC6CA3" w:rsidP="00AC6CA3">
      <w:pPr>
        <w:tabs>
          <w:tab w:val="left" w:pos="2310"/>
        </w:tabs>
        <w:rPr>
          <w:sz w:val="28"/>
          <w:szCs w:val="28"/>
          <w:lang w:val="uk-UA"/>
        </w:rPr>
      </w:pPr>
      <w:r w:rsidRPr="0089216D">
        <w:rPr>
          <w:sz w:val="28"/>
          <w:szCs w:val="28"/>
          <w:lang w:val="uk-UA"/>
        </w:rPr>
        <w:t>України в Чернігівській області</w:t>
      </w:r>
    </w:p>
    <w:p w:rsidR="00AC6CA3" w:rsidRPr="0089216D" w:rsidRDefault="00AC6CA3" w:rsidP="00AC6CA3">
      <w:pPr>
        <w:tabs>
          <w:tab w:val="left" w:pos="2310"/>
        </w:tabs>
        <w:rPr>
          <w:sz w:val="28"/>
          <w:szCs w:val="28"/>
          <w:bdr w:val="none" w:sz="0" w:space="0" w:color="auto" w:frame="1"/>
          <w:lang w:val="uk-UA"/>
        </w:rPr>
      </w:pPr>
    </w:p>
    <w:p w:rsidR="00243907" w:rsidRPr="0089216D" w:rsidRDefault="009246A2" w:rsidP="00243907">
      <w:pPr>
        <w:shd w:val="clear" w:color="auto" w:fill="FFFFFF"/>
        <w:spacing w:line="317" w:lineRule="exact"/>
        <w:ind w:left="10" w:firstLine="792"/>
        <w:jc w:val="both"/>
        <w:rPr>
          <w:sz w:val="28"/>
          <w:szCs w:val="28"/>
          <w:lang w:val="uk-UA"/>
        </w:rPr>
      </w:pPr>
      <w:r w:rsidRPr="0089216D">
        <w:rPr>
          <w:sz w:val="28"/>
          <w:szCs w:val="28"/>
          <w:lang w:val="uk-UA"/>
        </w:rPr>
        <w:t>Відповідно до</w:t>
      </w:r>
      <w:r w:rsidR="00AC6CA3" w:rsidRPr="0089216D">
        <w:rPr>
          <w:sz w:val="28"/>
          <w:szCs w:val="28"/>
          <w:lang w:val="uk-UA"/>
        </w:rPr>
        <w:t xml:space="preserve"> Закону України «Про передачу об’єктів права державної та комунальної власності», </w:t>
      </w:r>
      <w:r w:rsidRPr="0089216D">
        <w:rPr>
          <w:sz w:val="28"/>
          <w:szCs w:val="28"/>
          <w:lang w:val="uk-UA"/>
        </w:rPr>
        <w:t>Положення</w:t>
      </w:r>
      <w:r w:rsidR="00B33331" w:rsidRPr="0089216D">
        <w:rPr>
          <w:sz w:val="28"/>
          <w:szCs w:val="28"/>
          <w:lang w:val="uk-UA"/>
        </w:rPr>
        <w:t xml:space="preserve"> про порядок передачі комунального майна Козелецької селищної ради, затвердженого </w:t>
      </w:r>
      <w:r w:rsidR="00AC1EB4">
        <w:rPr>
          <w:sz w:val="28"/>
          <w:szCs w:val="28"/>
          <w:lang w:val="uk-UA"/>
        </w:rPr>
        <w:t xml:space="preserve">          </w:t>
      </w:r>
      <w:r w:rsidR="00B33331" w:rsidRPr="0089216D">
        <w:rPr>
          <w:sz w:val="28"/>
          <w:szCs w:val="28"/>
          <w:lang w:val="uk-UA"/>
        </w:rPr>
        <w:t>рішенням тридцять першої сесії Козелецької селищної ради восьмого скликання від 16 серпня 2019 року</w:t>
      </w:r>
      <w:r w:rsidR="003D2A91" w:rsidRPr="0089216D">
        <w:rPr>
          <w:sz w:val="28"/>
          <w:szCs w:val="28"/>
          <w:lang w:val="uk-UA"/>
        </w:rPr>
        <w:t xml:space="preserve">, </w:t>
      </w:r>
      <w:r w:rsidR="00B33331" w:rsidRPr="0089216D">
        <w:rPr>
          <w:sz w:val="28"/>
          <w:szCs w:val="28"/>
          <w:lang w:val="uk-UA"/>
        </w:rPr>
        <w:t xml:space="preserve">керуючись </w:t>
      </w:r>
      <w:r w:rsidR="00AC6CA3" w:rsidRPr="0089216D">
        <w:rPr>
          <w:sz w:val="28"/>
          <w:szCs w:val="28"/>
          <w:lang w:val="uk-UA"/>
        </w:rPr>
        <w:t>ст. ст.</w:t>
      </w:r>
      <w:r w:rsidR="00AC1EB4">
        <w:rPr>
          <w:sz w:val="28"/>
          <w:szCs w:val="28"/>
          <w:lang w:val="uk-UA"/>
        </w:rPr>
        <w:t xml:space="preserve"> </w:t>
      </w:r>
      <w:r w:rsidR="00AC6CA3" w:rsidRPr="0089216D">
        <w:rPr>
          <w:sz w:val="28"/>
          <w:szCs w:val="28"/>
          <w:lang w:val="uk-UA"/>
        </w:rPr>
        <w:t xml:space="preserve">29, </w:t>
      </w:r>
      <w:r w:rsidR="002E07E7" w:rsidRPr="0089216D">
        <w:rPr>
          <w:sz w:val="28"/>
          <w:szCs w:val="28"/>
          <w:lang w:val="uk-UA"/>
        </w:rPr>
        <w:t>41</w:t>
      </w:r>
      <w:r w:rsidR="00B33331" w:rsidRPr="0089216D">
        <w:rPr>
          <w:sz w:val="28"/>
          <w:szCs w:val="28"/>
          <w:lang w:val="uk-UA"/>
        </w:rPr>
        <w:t xml:space="preserve"> Закону  України  «Про місцеве самоврядування в Україні», </w:t>
      </w:r>
      <w:r w:rsidR="00AC1EB4">
        <w:rPr>
          <w:sz w:val="28"/>
          <w:szCs w:val="28"/>
          <w:lang w:val="uk-UA"/>
        </w:rPr>
        <w:t xml:space="preserve">виконавчий </w:t>
      </w:r>
      <w:r w:rsidR="00C6306C" w:rsidRPr="0089216D">
        <w:rPr>
          <w:sz w:val="28"/>
          <w:szCs w:val="28"/>
          <w:lang w:val="uk-UA"/>
        </w:rPr>
        <w:t>комітет вирішив:</w:t>
      </w:r>
    </w:p>
    <w:p w:rsidR="00825F75" w:rsidRDefault="00AC1EB4" w:rsidP="00825F75">
      <w:pPr>
        <w:pStyle w:val="a5"/>
        <w:numPr>
          <w:ilvl w:val="0"/>
          <w:numId w:val="10"/>
        </w:numPr>
        <w:shd w:val="clear" w:color="auto" w:fill="FFFFFF"/>
        <w:tabs>
          <w:tab w:val="left" w:pos="1134"/>
        </w:tabs>
        <w:spacing w:line="326" w:lineRule="exact"/>
        <w:ind w:left="0" w:firstLine="851"/>
        <w:jc w:val="both"/>
        <w:rPr>
          <w:sz w:val="28"/>
          <w:szCs w:val="28"/>
          <w:lang w:val="uk-UA"/>
        </w:rPr>
      </w:pPr>
      <w:r>
        <w:rPr>
          <w:spacing w:val="-3"/>
          <w:sz w:val="28"/>
          <w:szCs w:val="28"/>
          <w:lang w:val="uk-UA"/>
        </w:rPr>
        <w:t xml:space="preserve"> </w:t>
      </w:r>
      <w:r w:rsidR="003D2A91" w:rsidRPr="0089216D">
        <w:rPr>
          <w:spacing w:val="-3"/>
          <w:sz w:val="28"/>
          <w:szCs w:val="28"/>
          <w:lang w:val="uk-UA"/>
        </w:rPr>
        <w:t>Безоплатно п</w:t>
      </w:r>
      <w:r w:rsidR="00C6306C" w:rsidRPr="0089216D">
        <w:rPr>
          <w:spacing w:val="-3"/>
          <w:sz w:val="28"/>
          <w:szCs w:val="28"/>
          <w:lang w:val="uk-UA"/>
        </w:rPr>
        <w:t>ередат</w:t>
      </w:r>
      <w:r w:rsidR="003D2A91" w:rsidRPr="0089216D">
        <w:rPr>
          <w:spacing w:val="-3"/>
          <w:sz w:val="28"/>
          <w:szCs w:val="28"/>
          <w:lang w:val="uk-UA"/>
        </w:rPr>
        <w:t xml:space="preserve">и </w:t>
      </w:r>
      <w:r w:rsidR="0024709E">
        <w:rPr>
          <w:spacing w:val="-3"/>
          <w:sz w:val="28"/>
          <w:szCs w:val="28"/>
          <w:lang w:val="uk-UA"/>
        </w:rPr>
        <w:t>майно</w:t>
      </w:r>
      <w:r w:rsidR="00AC6CA3" w:rsidRPr="0089216D">
        <w:rPr>
          <w:spacing w:val="-3"/>
          <w:sz w:val="28"/>
          <w:szCs w:val="28"/>
          <w:lang w:val="uk-UA"/>
        </w:rPr>
        <w:t>, як</w:t>
      </w:r>
      <w:r w:rsidR="0024709E">
        <w:rPr>
          <w:spacing w:val="-3"/>
          <w:sz w:val="28"/>
          <w:szCs w:val="28"/>
          <w:lang w:val="uk-UA"/>
        </w:rPr>
        <w:t>е</w:t>
      </w:r>
      <w:r w:rsidR="00AC6CA3" w:rsidRPr="0089216D">
        <w:rPr>
          <w:spacing w:val="-3"/>
          <w:sz w:val="28"/>
          <w:szCs w:val="28"/>
          <w:lang w:val="uk-UA"/>
        </w:rPr>
        <w:t xml:space="preserve"> перебувають на балансі Козелецької селищної ради</w:t>
      </w:r>
      <w:r w:rsidR="00D21D6B" w:rsidRPr="0089216D">
        <w:rPr>
          <w:spacing w:val="-3"/>
          <w:sz w:val="28"/>
          <w:szCs w:val="28"/>
          <w:lang w:val="uk-UA"/>
        </w:rPr>
        <w:t xml:space="preserve">, на відповідальне зберігання </w:t>
      </w:r>
      <w:r w:rsidR="00D21D6B" w:rsidRPr="0089216D">
        <w:rPr>
          <w:sz w:val="28"/>
          <w:szCs w:val="28"/>
          <w:lang w:val="uk-UA"/>
        </w:rPr>
        <w:t>Головному управлінню Пенсійного фонду України в Чернігівській області</w:t>
      </w:r>
      <w:r>
        <w:rPr>
          <w:sz w:val="28"/>
          <w:szCs w:val="28"/>
          <w:lang w:val="uk-UA"/>
        </w:rPr>
        <w:t>,</w:t>
      </w:r>
      <w:r w:rsidR="00D21D6B" w:rsidRPr="0089216D">
        <w:rPr>
          <w:sz w:val="28"/>
          <w:szCs w:val="28"/>
          <w:lang w:val="uk-UA"/>
        </w:rPr>
        <w:t xml:space="preserve"> згідно додатку.</w:t>
      </w:r>
    </w:p>
    <w:p w:rsidR="00F42F04" w:rsidRPr="00825F75" w:rsidRDefault="00294E2A" w:rsidP="00825F75">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D21D6B" w:rsidRPr="00825F75">
        <w:rPr>
          <w:sz w:val="28"/>
          <w:szCs w:val="28"/>
          <w:lang w:val="uk-UA"/>
        </w:rPr>
        <w:t>Здійснити безоплатну передачу основних засобів відповідно до акта приймання-передачі</w:t>
      </w:r>
      <w:r>
        <w:rPr>
          <w:sz w:val="28"/>
          <w:szCs w:val="28"/>
          <w:lang w:val="uk-UA"/>
        </w:rPr>
        <w:t xml:space="preserve"> </w:t>
      </w:r>
      <w:r w:rsidR="0024709E" w:rsidRPr="00825F75">
        <w:rPr>
          <w:sz w:val="28"/>
          <w:szCs w:val="28"/>
          <w:lang w:val="uk-UA" w:eastAsia="uk-UA"/>
        </w:rPr>
        <w:t>у порядку, встановленому чинним законодавством України.</w:t>
      </w:r>
    </w:p>
    <w:p w:rsidR="00BB40B4" w:rsidRPr="0089216D" w:rsidRDefault="00CD5950"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89216D">
        <w:rPr>
          <w:sz w:val="28"/>
          <w:szCs w:val="28"/>
          <w:lang w:val="uk-UA"/>
        </w:rPr>
        <w:t xml:space="preserve">Рекомендувати приймаючій стороні до складу комісії з приймання-передачі </w:t>
      </w:r>
      <w:r w:rsidR="00C9379F" w:rsidRPr="0089216D">
        <w:rPr>
          <w:sz w:val="28"/>
          <w:szCs w:val="28"/>
          <w:lang w:val="uk-UA"/>
        </w:rPr>
        <w:t>основних засобів</w:t>
      </w:r>
      <w:r w:rsidR="00BB40B4" w:rsidRPr="0089216D">
        <w:rPr>
          <w:sz w:val="28"/>
          <w:szCs w:val="28"/>
          <w:lang w:val="uk-UA"/>
        </w:rPr>
        <w:t xml:space="preserve"> включити представників Козелецької селищної ради:</w:t>
      </w:r>
    </w:p>
    <w:p w:rsidR="00242859" w:rsidRPr="0089216D" w:rsidRDefault="00E76377" w:rsidP="00242859">
      <w:pPr>
        <w:pStyle w:val="a5"/>
        <w:numPr>
          <w:ilvl w:val="0"/>
          <w:numId w:val="13"/>
        </w:numPr>
        <w:shd w:val="clear" w:color="auto" w:fill="FFFFFF"/>
        <w:tabs>
          <w:tab w:val="left" w:pos="1134"/>
        </w:tabs>
        <w:spacing w:line="326" w:lineRule="exact"/>
        <w:jc w:val="both"/>
        <w:rPr>
          <w:sz w:val="28"/>
          <w:szCs w:val="28"/>
          <w:lang w:val="uk-UA"/>
        </w:rPr>
      </w:pPr>
      <w:r>
        <w:rPr>
          <w:sz w:val="28"/>
          <w:szCs w:val="28"/>
          <w:lang w:val="uk-UA"/>
        </w:rPr>
        <w:t xml:space="preserve">Моцьора В.В. </w:t>
      </w:r>
      <w:r w:rsidR="00242859" w:rsidRPr="0089216D">
        <w:rPr>
          <w:sz w:val="28"/>
          <w:szCs w:val="28"/>
          <w:lang w:val="uk-UA"/>
        </w:rPr>
        <w:t xml:space="preserve">– </w:t>
      </w:r>
      <w:r w:rsidR="00242859" w:rsidRPr="0089216D">
        <w:rPr>
          <w:bCs/>
          <w:sz w:val="28"/>
          <w:lang w:val="uk-UA"/>
        </w:rPr>
        <w:t>заступника селищного голови з питань будівництв</w:t>
      </w:r>
      <w:r w:rsidR="00AB6B64">
        <w:rPr>
          <w:bCs/>
          <w:sz w:val="28"/>
          <w:lang w:val="uk-UA"/>
        </w:rPr>
        <w:t>а, ЖКГ та комунальної власності;</w:t>
      </w:r>
    </w:p>
    <w:p w:rsidR="00BB40B4" w:rsidRPr="0089216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r w:rsidRPr="0089216D">
        <w:rPr>
          <w:sz w:val="28"/>
          <w:szCs w:val="28"/>
          <w:lang w:val="uk-UA"/>
        </w:rPr>
        <w:t>Лєпєєв</w:t>
      </w:r>
      <w:r w:rsidR="00C337B7" w:rsidRPr="0089216D">
        <w:rPr>
          <w:sz w:val="28"/>
          <w:szCs w:val="28"/>
          <w:lang w:val="uk-UA"/>
        </w:rPr>
        <w:t>у</w:t>
      </w:r>
      <w:r w:rsidRPr="0089216D">
        <w:rPr>
          <w:sz w:val="28"/>
          <w:szCs w:val="28"/>
          <w:lang w:val="uk-UA"/>
        </w:rPr>
        <w:t xml:space="preserve"> Т.О. – начальник</w:t>
      </w:r>
      <w:r w:rsidR="00C337B7" w:rsidRPr="0089216D">
        <w:rPr>
          <w:sz w:val="28"/>
          <w:szCs w:val="28"/>
          <w:lang w:val="uk-UA"/>
        </w:rPr>
        <w:t>а</w:t>
      </w:r>
      <w:r w:rsidR="00E76377">
        <w:rPr>
          <w:sz w:val="28"/>
          <w:szCs w:val="28"/>
          <w:lang w:val="uk-UA"/>
        </w:rPr>
        <w:t xml:space="preserve"> </w:t>
      </w:r>
      <w:r w:rsidR="00042F5C" w:rsidRPr="0089216D">
        <w:rPr>
          <w:sz w:val="28"/>
          <w:szCs w:val="28"/>
          <w:lang w:val="uk-UA"/>
        </w:rPr>
        <w:t xml:space="preserve">відділу </w:t>
      </w:r>
      <w:r w:rsidRPr="0089216D">
        <w:rPr>
          <w:sz w:val="28"/>
          <w:szCs w:val="28"/>
          <w:lang w:val="uk-UA"/>
        </w:rPr>
        <w:t xml:space="preserve">юридичного </w:t>
      </w:r>
      <w:r w:rsidR="00042F5C" w:rsidRPr="0089216D">
        <w:rPr>
          <w:sz w:val="28"/>
          <w:szCs w:val="28"/>
          <w:lang w:val="uk-UA"/>
        </w:rPr>
        <w:t xml:space="preserve">забезпечення та кадрової роботи </w:t>
      </w:r>
      <w:r w:rsidRPr="0089216D">
        <w:rPr>
          <w:sz w:val="28"/>
          <w:szCs w:val="28"/>
          <w:lang w:val="uk-UA"/>
        </w:rPr>
        <w:t>селищної ради;</w:t>
      </w:r>
      <w:r w:rsidR="005733D5">
        <w:rPr>
          <w:sz w:val="28"/>
          <w:szCs w:val="28"/>
          <w:lang w:val="uk-UA"/>
        </w:rPr>
        <w:t xml:space="preserve"> </w:t>
      </w:r>
    </w:p>
    <w:p w:rsidR="00BB40B4" w:rsidRPr="0089216D" w:rsidRDefault="00242859" w:rsidP="007C7F90">
      <w:pPr>
        <w:pStyle w:val="a6"/>
        <w:numPr>
          <w:ilvl w:val="0"/>
          <w:numId w:val="13"/>
        </w:numPr>
        <w:spacing w:before="0" w:beforeAutospacing="0" w:after="0" w:afterAutospacing="0"/>
        <w:ind w:left="709" w:hanging="349"/>
        <w:jc w:val="both"/>
        <w:rPr>
          <w:sz w:val="28"/>
          <w:szCs w:val="28"/>
          <w:lang w:val="uk-UA"/>
        </w:rPr>
      </w:pPr>
      <w:r w:rsidRPr="0089216D">
        <w:rPr>
          <w:sz w:val="28"/>
          <w:szCs w:val="28"/>
          <w:lang w:val="uk-UA"/>
        </w:rPr>
        <w:lastRenderedPageBreak/>
        <w:t>Пекур Т.С.</w:t>
      </w:r>
      <w:r w:rsidR="00BB40B4" w:rsidRPr="0089216D">
        <w:rPr>
          <w:sz w:val="28"/>
          <w:szCs w:val="28"/>
          <w:lang w:val="uk-UA"/>
        </w:rPr>
        <w:t xml:space="preserve"> – </w:t>
      </w:r>
      <w:r w:rsidRPr="0089216D">
        <w:rPr>
          <w:sz w:val="28"/>
          <w:szCs w:val="28"/>
          <w:lang w:val="uk-UA"/>
        </w:rPr>
        <w:t>головного спеціаліста</w:t>
      </w:r>
      <w:r w:rsidR="00BB40B4" w:rsidRPr="0089216D">
        <w:rPr>
          <w:sz w:val="28"/>
          <w:szCs w:val="28"/>
          <w:lang w:val="uk-UA"/>
        </w:rPr>
        <w:t xml:space="preserve"> фінансово-</w:t>
      </w:r>
      <w:r w:rsidR="00C337B7" w:rsidRPr="0089216D">
        <w:rPr>
          <w:sz w:val="28"/>
          <w:szCs w:val="28"/>
          <w:lang w:val="uk-UA"/>
        </w:rPr>
        <w:t>господарського</w:t>
      </w:r>
      <w:r w:rsidR="007C7F90" w:rsidRPr="0089216D">
        <w:rPr>
          <w:sz w:val="28"/>
          <w:szCs w:val="28"/>
          <w:lang w:val="uk-UA"/>
        </w:rPr>
        <w:t xml:space="preserve"> відділу </w:t>
      </w:r>
      <w:r w:rsidR="00042F5C" w:rsidRPr="0089216D">
        <w:rPr>
          <w:sz w:val="28"/>
          <w:szCs w:val="28"/>
          <w:lang w:val="uk-UA"/>
        </w:rPr>
        <w:t>селищної ради;</w:t>
      </w:r>
    </w:p>
    <w:p w:rsidR="002A09AA" w:rsidRDefault="00E76377" w:rsidP="002A09AA">
      <w:pPr>
        <w:pStyle w:val="a6"/>
        <w:numPr>
          <w:ilvl w:val="0"/>
          <w:numId w:val="13"/>
        </w:numPr>
        <w:spacing w:before="0" w:beforeAutospacing="0" w:after="0" w:afterAutospacing="0"/>
        <w:jc w:val="both"/>
        <w:rPr>
          <w:sz w:val="28"/>
          <w:szCs w:val="28"/>
          <w:lang w:val="uk-UA"/>
        </w:rPr>
      </w:pPr>
      <w:r>
        <w:rPr>
          <w:sz w:val="28"/>
          <w:szCs w:val="28"/>
          <w:lang w:val="uk-UA"/>
        </w:rPr>
        <w:t>Бреус О.П. – головного</w:t>
      </w:r>
      <w:r w:rsidR="00042F5C" w:rsidRPr="0089216D">
        <w:rPr>
          <w:sz w:val="28"/>
          <w:szCs w:val="28"/>
          <w:lang w:val="uk-UA"/>
        </w:rPr>
        <w:t xml:space="preserve"> спеціаліст</w:t>
      </w:r>
      <w:r>
        <w:rPr>
          <w:sz w:val="28"/>
          <w:szCs w:val="28"/>
          <w:lang w:val="uk-UA"/>
        </w:rPr>
        <w:t>а</w:t>
      </w:r>
      <w:r w:rsidR="00042F5C" w:rsidRPr="0089216D">
        <w:rPr>
          <w:sz w:val="28"/>
          <w:szCs w:val="28"/>
          <w:lang w:val="uk-UA"/>
        </w:rPr>
        <w:t xml:space="preserve"> з питань комунальної власності відділу земельних відносин та комунальної власності селищної ради.</w:t>
      </w:r>
    </w:p>
    <w:p w:rsidR="009308E0" w:rsidRDefault="002A09AA" w:rsidP="009308E0">
      <w:pPr>
        <w:pStyle w:val="a6"/>
        <w:spacing w:before="0" w:beforeAutospacing="0" w:after="0" w:afterAutospacing="0"/>
        <w:ind w:firstLine="708"/>
        <w:jc w:val="both"/>
        <w:rPr>
          <w:sz w:val="28"/>
          <w:szCs w:val="28"/>
          <w:lang w:val="uk-UA"/>
        </w:rPr>
      </w:pPr>
      <w:r>
        <w:rPr>
          <w:sz w:val="28"/>
          <w:szCs w:val="28"/>
          <w:lang w:val="uk-UA"/>
        </w:rPr>
        <w:t xml:space="preserve">4. </w:t>
      </w:r>
      <w:r w:rsidR="00C9379F" w:rsidRPr="002A09AA">
        <w:rPr>
          <w:sz w:val="28"/>
          <w:szCs w:val="28"/>
          <w:lang w:val="uk-UA"/>
        </w:rPr>
        <w:t xml:space="preserve">Головному управлінню Пенсійного фонду України в Чернігівській </w:t>
      </w:r>
      <w:r w:rsidR="009308E0">
        <w:rPr>
          <w:sz w:val="28"/>
          <w:szCs w:val="28"/>
          <w:lang w:val="uk-UA"/>
        </w:rPr>
        <w:t xml:space="preserve"> </w:t>
      </w:r>
      <w:r w:rsidR="00C9379F" w:rsidRPr="002A09AA">
        <w:rPr>
          <w:sz w:val="28"/>
          <w:szCs w:val="28"/>
          <w:lang w:val="uk-UA"/>
        </w:rPr>
        <w:t xml:space="preserve">області відобразити </w:t>
      </w:r>
      <w:r w:rsidR="00042F5C" w:rsidRPr="002A09AA">
        <w:rPr>
          <w:sz w:val="28"/>
          <w:szCs w:val="28"/>
          <w:lang w:val="uk-UA"/>
        </w:rPr>
        <w:t xml:space="preserve">на </w:t>
      </w:r>
      <w:r w:rsidR="00C9379F" w:rsidRPr="002A09AA">
        <w:rPr>
          <w:sz w:val="28"/>
          <w:szCs w:val="28"/>
          <w:lang w:val="uk-UA"/>
        </w:rPr>
        <w:t>позабалансовому обліку вартість</w:t>
      </w:r>
      <w:r w:rsidR="00EA597C">
        <w:rPr>
          <w:sz w:val="28"/>
          <w:szCs w:val="28"/>
          <w:lang w:val="uk-UA"/>
        </w:rPr>
        <w:t>,</w:t>
      </w:r>
      <w:r w:rsidR="00C9379F" w:rsidRPr="002A09AA">
        <w:rPr>
          <w:sz w:val="28"/>
          <w:szCs w:val="28"/>
          <w:lang w:val="uk-UA"/>
        </w:rPr>
        <w:t xml:space="preserve"> переданих на відповідальне зберігання основних засобів</w:t>
      </w:r>
      <w:r w:rsidR="00EA597C">
        <w:rPr>
          <w:sz w:val="28"/>
          <w:szCs w:val="28"/>
          <w:lang w:val="uk-UA"/>
        </w:rPr>
        <w:t>,</w:t>
      </w:r>
      <w:r w:rsidR="00C9379F" w:rsidRPr="002A09AA">
        <w:rPr>
          <w:sz w:val="28"/>
          <w:szCs w:val="28"/>
          <w:lang w:val="uk-UA"/>
        </w:rPr>
        <w:t xml:space="preserve"> та передбачити видатки для оплати енер</w:t>
      </w:r>
      <w:r w:rsidR="00EA597C">
        <w:rPr>
          <w:sz w:val="28"/>
          <w:szCs w:val="28"/>
          <w:lang w:val="uk-UA"/>
        </w:rPr>
        <w:t>гоносіїв, необхідних для їх</w:t>
      </w:r>
      <w:r w:rsidR="005B1692">
        <w:rPr>
          <w:sz w:val="28"/>
          <w:szCs w:val="28"/>
          <w:lang w:val="uk-UA"/>
        </w:rPr>
        <w:t>нього</w:t>
      </w:r>
      <w:r w:rsidR="00C9379F" w:rsidRPr="002A09AA">
        <w:rPr>
          <w:sz w:val="28"/>
          <w:szCs w:val="28"/>
          <w:lang w:val="uk-UA"/>
        </w:rPr>
        <w:t xml:space="preserve"> утримання та належного функціонування. </w:t>
      </w:r>
    </w:p>
    <w:p w:rsidR="00242859" w:rsidRDefault="009308E0" w:rsidP="009308E0">
      <w:pPr>
        <w:pStyle w:val="a6"/>
        <w:spacing w:before="0" w:beforeAutospacing="0" w:after="0" w:afterAutospacing="0"/>
        <w:ind w:firstLine="708"/>
        <w:jc w:val="both"/>
        <w:rPr>
          <w:sz w:val="28"/>
          <w:szCs w:val="28"/>
          <w:lang w:val="uk-UA"/>
        </w:rPr>
      </w:pPr>
      <w:r>
        <w:rPr>
          <w:sz w:val="28"/>
          <w:szCs w:val="28"/>
          <w:lang w:val="uk-UA"/>
        </w:rPr>
        <w:t xml:space="preserve">5. </w:t>
      </w:r>
      <w:r w:rsidR="00242859" w:rsidRPr="0089216D">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E12E5" w:rsidRDefault="004E12E5" w:rsidP="009308E0">
      <w:pPr>
        <w:pStyle w:val="a6"/>
        <w:spacing w:before="0" w:beforeAutospacing="0" w:after="0" w:afterAutospacing="0"/>
        <w:ind w:firstLine="708"/>
        <w:jc w:val="both"/>
        <w:rPr>
          <w:sz w:val="28"/>
          <w:szCs w:val="28"/>
          <w:lang w:val="uk-UA"/>
        </w:rPr>
      </w:pPr>
    </w:p>
    <w:p w:rsidR="004E12E5" w:rsidRPr="009308E0" w:rsidRDefault="004E12E5" w:rsidP="009308E0">
      <w:pPr>
        <w:pStyle w:val="a6"/>
        <w:spacing w:before="0" w:beforeAutospacing="0" w:after="0" w:afterAutospacing="0"/>
        <w:ind w:firstLine="708"/>
        <w:jc w:val="both"/>
        <w:rPr>
          <w:sz w:val="28"/>
          <w:szCs w:val="28"/>
          <w:lang w:val="uk-UA"/>
        </w:rPr>
      </w:pPr>
    </w:p>
    <w:p w:rsidR="007C7F90" w:rsidRPr="0089216D" w:rsidRDefault="006F6E19" w:rsidP="004E12E5">
      <w:pPr>
        <w:pStyle w:val="a6"/>
        <w:spacing w:before="0" w:beforeAutospacing="0" w:after="120" w:afterAutospacing="0"/>
        <w:rPr>
          <w:sz w:val="28"/>
          <w:szCs w:val="28"/>
          <w:lang w:val="uk-UA"/>
        </w:rPr>
      </w:pPr>
      <w:r w:rsidRPr="0089216D">
        <w:rPr>
          <w:sz w:val="28"/>
          <w:szCs w:val="28"/>
          <w:lang w:val="uk-UA"/>
        </w:rPr>
        <w:t xml:space="preserve">Селищний голова </w:t>
      </w:r>
      <w:r w:rsidRPr="0089216D">
        <w:rPr>
          <w:sz w:val="28"/>
          <w:szCs w:val="28"/>
          <w:lang w:val="uk-UA"/>
        </w:rPr>
        <w:tab/>
      </w:r>
      <w:r w:rsidRPr="0089216D">
        <w:rPr>
          <w:sz w:val="28"/>
          <w:szCs w:val="28"/>
          <w:lang w:val="uk-UA"/>
        </w:rPr>
        <w:tab/>
      </w:r>
      <w:r w:rsidRPr="0089216D">
        <w:rPr>
          <w:sz w:val="28"/>
          <w:szCs w:val="28"/>
          <w:lang w:val="uk-UA"/>
        </w:rPr>
        <w:tab/>
      </w:r>
      <w:r w:rsidRPr="0089216D">
        <w:rPr>
          <w:sz w:val="28"/>
          <w:szCs w:val="28"/>
          <w:lang w:val="uk-UA"/>
        </w:rPr>
        <w:tab/>
      </w:r>
      <w:r w:rsidRPr="0089216D">
        <w:rPr>
          <w:sz w:val="28"/>
          <w:szCs w:val="28"/>
          <w:lang w:val="uk-UA"/>
        </w:rPr>
        <w:tab/>
      </w:r>
      <w:r w:rsidR="004E12E5">
        <w:rPr>
          <w:sz w:val="28"/>
          <w:szCs w:val="28"/>
          <w:lang w:val="uk-UA"/>
        </w:rPr>
        <w:tab/>
      </w:r>
      <w:r w:rsidR="004E12E5">
        <w:rPr>
          <w:sz w:val="28"/>
          <w:szCs w:val="28"/>
          <w:lang w:val="uk-UA"/>
        </w:rPr>
        <w:tab/>
      </w:r>
      <w:r w:rsidR="00C55C35">
        <w:rPr>
          <w:sz w:val="28"/>
          <w:szCs w:val="28"/>
          <w:lang w:val="uk-UA"/>
        </w:rPr>
        <w:t xml:space="preserve">    </w:t>
      </w:r>
      <w:r w:rsidR="004E12E5">
        <w:rPr>
          <w:sz w:val="28"/>
          <w:szCs w:val="28"/>
          <w:lang w:val="uk-UA"/>
        </w:rPr>
        <w:t>В.П.</w:t>
      </w:r>
      <w:r w:rsidR="004D074D" w:rsidRPr="0089216D">
        <w:rPr>
          <w:sz w:val="28"/>
          <w:szCs w:val="28"/>
          <w:lang w:val="uk-UA"/>
        </w:rPr>
        <w:t>Бригинець</w:t>
      </w:r>
    </w:p>
    <w:p w:rsidR="007C7F90" w:rsidRPr="0089216D"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4E12E5" w:rsidRDefault="004E12E5" w:rsidP="005D57C9">
      <w:pPr>
        <w:pStyle w:val="a6"/>
        <w:spacing w:after="120"/>
        <w:rPr>
          <w:sz w:val="28"/>
          <w:szCs w:val="28"/>
          <w:lang w:val="uk-UA"/>
        </w:rPr>
      </w:pPr>
    </w:p>
    <w:p w:rsidR="00EB160A" w:rsidRPr="0089216D" w:rsidRDefault="00EB160A" w:rsidP="005D57C9">
      <w:pPr>
        <w:pStyle w:val="a6"/>
        <w:spacing w:after="120"/>
        <w:rPr>
          <w:sz w:val="28"/>
          <w:szCs w:val="28"/>
          <w:lang w:val="uk-UA"/>
        </w:rPr>
      </w:pPr>
    </w:p>
    <w:p w:rsidR="0089216D" w:rsidRPr="0089216D" w:rsidRDefault="0089216D" w:rsidP="0089216D">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lastRenderedPageBreak/>
        <w:t>Додаток</w:t>
      </w:r>
    </w:p>
    <w:p w:rsidR="0089216D" w:rsidRPr="0089216D" w:rsidRDefault="0089216D" w:rsidP="0089216D">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t>до рішення виконавчого комітету</w:t>
      </w:r>
    </w:p>
    <w:p w:rsidR="0089216D" w:rsidRPr="0089216D" w:rsidRDefault="0089216D" w:rsidP="0089216D">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t>Козелецької селищної ради</w:t>
      </w:r>
    </w:p>
    <w:p w:rsidR="0089216D" w:rsidRPr="0089216D" w:rsidRDefault="0089216D" w:rsidP="0089216D">
      <w:pPr>
        <w:autoSpaceDE w:val="0"/>
        <w:autoSpaceDN w:val="0"/>
        <w:adjustRightInd w:val="0"/>
        <w:jc w:val="right"/>
        <w:rPr>
          <w:rFonts w:eastAsiaTheme="minorHAnsi"/>
          <w:sz w:val="28"/>
          <w:szCs w:val="28"/>
          <w:lang w:val="uk-UA" w:eastAsia="en-US"/>
        </w:rPr>
      </w:pPr>
      <w:r w:rsidRPr="0089216D">
        <w:rPr>
          <w:rFonts w:eastAsiaTheme="minorHAnsi"/>
          <w:sz w:val="28"/>
          <w:szCs w:val="28"/>
          <w:lang w:val="uk-UA" w:eastAsia="en-US"/>
        </w:rPr>
        <w:t xml:space="preserve">від </w:t>
      </w:r>
      <w:r w:rsidR="0024709E">
        <w:rPr>
          <w:rFonts w:eastAsiaTheme="minorHAnsi"/>
          <w:sz w:val="28"/>
          <w:szCs w:val="28"/>
          <w:lang w:val="uk-UA" w:eastAsia="en-US"/>
        </w:rPr>
        <w:t>01жовтня</w:t>
      </w:r>
      <w:r w:rsidRPr="0089216D">
        <w:rPr>
          <w:rFonts w:eastAsiaTheme="minorHAnsi"/>
          <w:sz w:val="28"/>
          <w:szCs w:val="28"/>
          <w:lang w:val="uk-UA" w:eastAsia="en-US"/>
        </w:rPr>
        <w:t xml:space="preserve"> 2021 року</w:t>
      </w:r>
    </w:p>
    <w:p w:rsidR="0089216D" w:rsidRPr="0089216D" w:rsidRDefault="0089216D" w:rsidP="0089216D">
      <w:pPr>
        <w:pStyle w:val="a6"/>
        <w:spacing w:before="0" w:beforeAutospacing="0" w:after="120" w:afterAutospacing="0"/>
        <w:jc w:val="right"/>
        <w:rPr>
          <w:rFonts w:eastAsiaTheme="minorHAnsi"/>
          <w:sz w:val="28"/>
          <w:szCs w:val="28"/>
          <w:lang w:val="uk-UA" w:eastAsia="en-US"/>
        </w:rPr>
      </w:pPr>
      <w:r w:rsidRPr="0089216D">
        <w:rPr>
          <w:rFonts w:eastAsiaTheme="minorHAnsi"/>
          <w:sz w:val="28"/>
          <w:szCs w:val="28"/>
          <w:lang w:val="uk-UA" w:eastAsia="en-US"/>
        </w:rPr>
        <w:t>№</w:t>
      </w:r>
      <w:r w:rsidR="007F6BF1">
        <w:rPr>
          <w:rFonts w:eastAsiaTheme="minorHAnsi"/>
          <w:sz w:val="28"/>
          <w:szCs w:val="28"/>
          <w:lang w:val="uk-UA" w:eastAsia="en-US"/>
        </w:rPr>
        <w:t xml:space="preserve"> 325</w:t>
      </w:r>
      <w:r w:rsidRPr="0089216D">
        <w:rPr>
          <w:rFonts w:eastAsiaTheme="minorHAnsi"/>
          <w:sz w:val="28"/>
          <w:szCs w:val="28"/>
          <w:lang w:val="uk-UA" w:eastAsia="en-US"/>
        </w:rPr>
        <w:t>-</w:t>
      </w:r>
      <w:r w:rsidR="0024709E">
        <w:rPr>
          <w:rFonts w:eastAsiaTheme="minorHAnsi"/>
          <w:sz w:val="28"/>
          <w:szCs w:val="28"/>
          <w:lang w:val="uk-UA" w:eastAsia="en-US"/>
        </w:rPr>
        <w:t>2</w:t>
      </w:r>
      <w:r w:rsidRPr="0089216D">
        <w:rPr>
          <w:rFonts w:eastAsiaTheme="minorHAnsi"/>
          <w:sz w:val="28"/>
          <w:szCs w:val="28"/>
          <w:lang w:val="uk-UA" w:eastAsia="en-US"/>
        </w:rPr>
        <w:t>0/VIII</w:t>
      </w:r>
    </w:p>
    <w:p w:rsidR="0089216D" w:rsidRDefault="0089216D" w:rsidP="0089216D">
      <w:pPr>
        <w:pStyle w:val="a6"/>
        <w:spacing w:before="0" w:beforeAutospacing="0" w:after="120" w:afterAutospacing="0"/>
        <w:jc w:val="center"/>
        <w:rPr>
          <w:b/>
          <w:sz w:val="26"/>
          <w:szCs w:val="26"/>
          <w:lang w:val="uk-UA"/>
        </w:rPr>
      </w:pPr>
    </w:p>
    <w:p w:rsidR="0089216D" w:rsidRPr="005924C8" w:rsidRDefault="0089216D" w:rsidP="0089216D">
      <w:pPr>
        <w:pStyle w:val="a6"/>
        <w:spacing w:before="0" w:beforeAutospacing="0" w:after="120" w:afterAutospacing="0"/>
        <w:jc w:val="center"/>
        <w:rPr>
          <w:b/>
          <w:sz w:val="28"/>
          <w:szCs w:val="28"/>
          <w:lang w:val="uk-UA"/>
        </w:rPr>
      </w:pPr>
      <w:r w:rsidRPr="005924C8">
        <w:rPr>
          <w:b/>
          <w:sz w:val="28"/>
          <w:szCs w:val="28"/>
          <w:lang w:val="uk-UA"/>
        </w:rPr>
        <w:t xml:space="preserve">Перелік майна, що передається </w:t>
      </w:r>
      <w:r w:rsidRPr="005924C8">
        <w:rPr>
          <w:b/>
          <w:spacing w:val="-3"/>
          <w:sz w:val="28"/>
          <w:szCs w:val="28"/>
          <w:lang w:val="uk-UA"/>
        </w:rPr>
        <w:t xml:space="preserve">на відповідальне зберігання </w:t>
      </w:r>
      <w:r w:rsidRPr="005924C8">
        <w:rPr>
          <w:b/>
          <w:sz w:val="28"/>
          <w:szCs w:val="28"/>
          <w:lang w:val="uk-UA"/>
        </w:rPr>
        <w:t>Головному управлінню Пенсійного фонду України в Чернігівській області</w:t>
      </w:r>
    </w:p>
    <w:p w:rsidR="0024709E" w:rsidRPr="0089216D" w:rsidRDefault="0024709E" w:rsidP="0089216D">
      <w:pPr>
        <w:pStyle w:val="a6"/>
        <w:spacing w:before="0" w:beforeAutospacing="0" w:after="120" w:afterAutospacing="0"/>
        <w:jc w:val="center"/>
        <w:rPr>
          <w:b/>
          <w:sz w:val="26"/>
          <w:szCs w:val="26"/>
          <w:lang w:val="uk-UA"/>
        </w:rPr>
      </w:pPr>
    </w:p>
    <w:tbl>
      <w:tblPr>
        <w:tblStyle w:val="ae"/>
        <w:tblW w:w="0" w:type="auto"/>
        <w:tblLook w:val="04A0"/>
      </w:tblPr>
      <w:tblGrid>
        <w:gridCol w:w="613"/>
        <w:gridCol w:w="2595"/>
        <w:gridCol w:w="1296"/>
        <w:gridCol w:w="1337"/>
        <w:gridCol w:w="2048"/>
        <w:gridCol w:w="1541"/>
      </w:tblGrid>
      <w:tr w:rsidR="0089216D" w:rsidRPr="000E5291" w:rsidTr="0089216D">
        <w:tc>
          <w:tcPr>
            <w:tcW w:w="616" w:type="dxa"/>
            <w:vAlign w:val="center"/>
          </w:tcPr>
          <w:p w:rsidR="0089216D" w:rsidRPr="00E172EF" w:rsidRDefault="0089216D" w:rsidP="007F4558">
            <w:pPr>
              <w:pStyle w:val="a6"/>
              <w:spacing w:before="0" w:beforeAutospacing="0" w:after="120" w:afterAutospacing="0"/>
              <w:jc w:val="center"/>
              <w:rPr>
                <w:sz w:val="28"/>
                <w:szCs w:val="28"/>
              </w:rPr>
            </w:pPr>
            <w:r w:rsidRPr="00E172EF">
              <w:rPr>
                <w:sz w:val="28"/>
                <w:szCs w:val="28"/>
              </w:rPr>
              <w:t>№ п/п</w:t>
            </w:r>
          </w:p>
        </w:tc>
        <w:tc>
          <w:tcPr>
            <w:tcW w:w="2712" w:type="dxa"/>
            <w:vAlign w:val="center"/>
          </w:tcPr>
          <w:p w:rsidR="0089216D" w:rsidRPr="00E172EF" w:rsidRDefault="0089216D" w:rsidP="007F4558">
            <w:pPr>
              <w:pStyle w:val="a6"/>
              <w:spacing w:before="0" w:after="120"/>
              <w:jc w:val="center"/>
              <w:rPr>
                <w:sz w:val="28"/>
                <w:szCs w:val="28"/>
              </w:rPr>
            </w:pPr>
            <w:r w:rsidRPr="00E172EF">
              <w:rPr>
                <w:sz w:val="28"/>
                <w:szCs w:val="28"/>
              </w:rPr>
              <w:t>Найменування</w:t>
            </w:r>
          </w:p>
        </w:tc>
        <w:tc>
          <w:tcPr>
            <w:tcW w:w="1297" w:type="dxa"/>
            <w:vAlign w:val="center"/>
          </w:tcPr>
          <w:p w:rsidR="0089216D" w:rsidRPr="00E172EF" w:rsidRDefault="0089216D" w:rsidP="007F4558">
            <w:pPr>
              <w:pStyle w:val="a6"/>
              <w:spacing w:before="0" w:beforeAutospacing="0" w:after="120" w:afterAutospacing="0"/>
              <w:jc w:val="center"/>
              <w:rPr>
                <w:sz w:val="28"/>
                <w:szCs w:val="28"/>
              </w:rPr>
            </w:pPr>
            <w:r w:rsidRPr="00E172EF">
              <w:rPr>
                <w:sz w:val="28"/>
                <w:szCs w:val="28"/>
              </w:rPr>
              <w:t>Одиниця виміру</w:t>
            </w:r>
          </w:p>
        </w:tc>
        <w:tc>
          <w:tcPr>
            <w:tcW w:w="1272" w:type="dxa"/>
            <w:vAlign w:val="center"/>
          </w:tcPr>
          <w:p w:rsidR="0089216D" w:rsidRPr="00E172EF" w:rsidRDefault="0089216D" w:rsidP="007F4558">
            <w:pPr>
              <w:pStyle w:val="a6"/>
              <w:spacing w:before="0" w:beforeAutospacing="0" w:after="120" w:afterAutospacing="0"/>
              <w:jc w:val="center"/>
              <w:rPr>
                <w:sz w:val="28"/>
                <w:szCs w:val="28"/>
              </w:rPr>
            </w:pPr>
            <w:r w:rsidRPr="00E172EF">
              <w:rPr>
                <w:sz w:val="28"/>
                <w:szCs w:val="28"/>
              </w:rPr>
              <w:t>Кількість</w:t>
            </w:r>
          </w:p>
        </w:tc>
        <w:tc>
          <w:tcPr>
            <w:tcW w:w="2113" w:type="dxa"/>
            <w:vAlign w:val="center"/>
          </w:tcPr>
          <w:p w:rsidR="0089216D" w:rsidRPr="00E172EF" w:rsidRDefault="0089216D" w:rsidP="007F4558">
            <w:pPr>
              <w:pStyle w:val="a6"/>
              <w:spacing w:before="0" w:beforeAutospacing="0" w:after="120" w:afterAutospacing="0"/>
              <w:jc w:val="center"/>
              <w:rPr>
                <w:sz w:val="28"/>
                <w:szCs w:val="28"/>
              </w:rPr>
            </w:pPr>
            <w:r w:rsidRPr="00E172EF">
              <w:rPr>
                <w:sz w:val="28"/>
                <w:szCs w:val="28"/>
              </w:rPr>
              <w:t>Інвентарний номер</w:t>
            </w:r>
          </w:p>
        </w:tc>
        <w:tc>
          <w:tcPr>
            <w:tcW w:w="1561" w:type="dxa"/>
            <w:vAlign w:val="center"/>
          </w:tcPr>
          <w:p w:rsidR="0089216D" w:rsidRPr="00E172EF" w:rsidRDefault="0089216D" w:rsidP="007F4558">
            <w:pPr>
              <w:pStyle w:val="a6"/>
              <w:spacing w:before="0" w:beforeAutospacing="0" w:after="120" w:afterAutospacing="0"/>
              <w:jc w:val="center"/>
              <w:rPr>
                <w:sz w:val="28"/>
                <w:szCs w:val="28"/>
              </w:rPr>
            </w:pPr>
            <w:r w:rsidRPr="00E172EF">
              <w:rPr>
                <w:sz w:val="28"/>
                <w:szCs w:val="28"/>
              </w:rPr>
              <w:t xml:space="preserve">Балансова (первісна) вартість, </w:t>
            </w:r>
            <w:r w:rsidR="00295432" w:rsidRPr="00E172EF">
              <w:rPr>
                <w:sz w:val="28"/>
                <w:szCs w:val="28"/>
              </w:rPr>
              <w:t>грн.</w:t>
            </w:r>
          </w:p>
        </w:tc>
      </w:tr>
      <w:tr w:rsidR="0024709E" w:rsidRPr="000E5291" w:rsidTr="00295432">
        <w:tc>
          <w:tcPr>
            <w:tcW w:w="616" w:type="dxa"/>
            <w:vAlign w:val="center"/>
          </w:tcPr>
          <w:p w:rsidR="0024709E" w:rsidRPr="00E172EF" w:rsidRDefault="0024709E" w:rsidP="00295432">
            <w:pPr>
              <w:pStyle w:val="a6"/>
              <w:spacing w:before="0" w:beforeAutospacing="0" w:after="120" w:afterAutospacing="0"/>
              <w:jc w:val="center"/>
              <w:rPr>
                <w:sz w:val="28"/>
                <w:szCs w:val="28"/>
              </w:rPr>
            </w:pPr>
            <w:r w:rsidRPr="00E172EF">
              <w:rPr>
                <w:sz w:val="28"/>
                <w:szCs w:val="28"/>
              </w:rPr>
              <w:t>1.</w:t>
            </w:r>
          </w:p>
        </w:tc>
        <w:tc>
          <w:tcPr>
            <w:tcW w:w="2712" w:type="dxa"/>
            <w:vAlign w:val="center"/>
          </w:tcPr>
          <w:p w:rsidR="0024709E" w:rsidRPr="00E172EF" w:rsidRDefault="0024709E" w:rsidP="00E172EF">
            <w:pPr>
              <w:jc w:val="center"/>
              <w:rPr>
                <w:color w:val="000000"/>
                <w:sz w:val="28"/>
                <w:szCs w:val="28"/>
              </w:rPr>
            </w:pPr>
            <w:r w:rsidRPr="00E172EF">
              <w:rPr>
                <w:color w:val="000000"/>
                <w:sz w:val="28"/>
                <w:szCs w:val="28"/>
              </w:rPr>
              <w:t>Ел</w:t>
            </w:r>
            <w:r w:rsidR="00E172EF">
              <w:rPr>
                <w:color w:val="000000"/>
                <w:sz w:val="28"/>
                <w:szCs w:val="28"/>
              </w:rPr>
              <w:t xml:space="preserve">ектричний </w:t>
            </w:r>
            <w:r w:rsidRPr="00E172EF">
              <w:rPr>
                <w:color w:val="000000"/>
                <w:sz w:val="28"/>
                <w:szCs w:val="28"/>
              </w:rPr>
              <w:t>лічильник</w:t>
            </w:r>
          </w:p>
        </w:tc>
        <w:tc>
          <w:tcPr>
            <w:tcW w:w="1297" w:type="dxa"/>
            <w:vAlign w:val="center"/>
          </w:tcPr>
          <w:p w:rsidR="0024709E" w:rsidRPr="00E172EF" w:rsidRDefault="0024709E" w:rsidP="00295432">
            <w:pPr>
              <w:jc w:val="center"/>
              <w:rPr>
                <w:color w:val="000000"/>
                <w:sz w:val="28"/>
                <w:szCs w:val="28"/>
              </w:rPr>
            </w:pPr>
            <w:r w:rsidRPr="00E172EF">
              <w:rPr>
                <w:color w:val="000000"/>
                <w:sz w:val="28"/>
                <w:szCs w:val="28"/>
              </w:rPr>
              <w:t>шт.</w:t>
            </w:r>
          </w:p>
        </w:tc>
        <w:tc>
          <w:tcPr>
            <w:tcW w:w="1272" w:type="dxa"/>
            <w:vAlign w:val="center"/>
          </w:tcPr>
          <w:p w:rsidR="0024709E" w:rsidRPr="00E172EF" w:rsidRDefault="0024709E" w:rsidP="00295432">
            <w:pPr>
              <w:jc w:val="center"/>
              <w:rPr>
                <w:color w:val="000000"/>
                <w:sz w:val="28"/>
                <w:szCs w:val="28"/>
              </w:rPr>
            </w:pPr>
            <w:r w:rsidRPr="00E172EF">
              <w:rPr>
                <w:color w:val="000000"/>
                <w:sz w:val="28"/>
                <w:szCs w:val="28"/>
              </w:rPr>
              <w:t>1</w:t>
            </w:r>
          </w:p>
        </w:tc>
        <w:tc>
          <w:tcPr>
            <w:tcW w:w="2113" w:type="dxa"/>
            <w:vAlign w:val="center"/>
          </w:tcPr>
          <w:p w:rsidR="0024709E" w:rsidRPr="00E172EF" w:rsidRDefault="0024709E" w:rsidP="00295432">
            <w:pPr>
              <w:jc w:val="center"/>
              <w:rPr>
                <w:color w:val="000000"/>
                <w:sz w:val="28"/>
                <w:szCs w:val="28"/>
              </w:rPr>
            </w:pPr>
            <w:r w:rsidRPr="00E172EF">
              <w:rPr>
                <w:color w:val="000000"/>
                <w:sz w:val="28"/>
                <w:szCs w:val="28"/>
              </w:rPr>
              <w:t>11130035</w:t>
            </w:r>
          </w:p>
        </w:tc>
        <w:tc>
          <w:tcPr>
            <w:tcW w:w="1561" w:type="dxa"/>
            <w:vAlign w:val="center"/>
          </w:tcPr>
          <w:p w:rsidR="0024709E" w:rsidRPr="00E172EF" w:rsidRDefault="0024709E" w:rsidP="00295432">
            <w:pPr>
              <w:jc w:val="center"/>
              <w:rPr>
                <w:color w:val="000000"/>
                <w:sz w:val="28"/>
                <w:szCs w:val="28"/>
              </w:rPr>
            </w:pPr>
            <w:r w:rsidRPr="00E172EF">
              <w:rPr>
                <w:color w:val="000000"/>
                <w:sz w:val="28"/>
                <w:szCs w:val="28"/>
              </w:rPr>
              <w:t>97,00</w:t>
            </w:r>
          </w:p>
        </w:tc>
      </w:tr>
    </w:tbl>
    <w:p w:rsidR="0089216D" w:rsidRPr="003901DA" w:rsidRDefault="0089216D" w:rsidP="00EA0CCF">
      <w:pPr>
        <w:pStyle w:val="a6"/>
        <w:spacing w:before="0" w:beforeAutospacing="0" w:after="120" w:afterAutospacing="0"/>
        <w:rPr>
          <w:sz w:val="28"/>
          <w:lang w:val="uk-UA"/>
        </w:rPr>
      </w:pPr>
    </w:p>
    <w:p w:rsidR="0089216D" w:rsidRDefault="0089216D" w:rsidP="00EA0CCF">
      <w:pPr>
        <w:rPr>
          <w:sz w:val="28"/>
          <w:lang w:val="uk-UA"/>
        </w:rPr>
      </w:pPr>
    </w:p>
    <w:p w:rsidR="00EA0CCF" w:rsidRPr="00C76C4A" w:rsidRDefault="00EA0CCF" w:rsidP="00EA0CCF">
      <w:pPr>
        <w:keepLines/>
        <w:autoSpaceDE w:val="0"/>
        <w:autoSpaceDN w:val="0"/>
        <w:rPr>
          <w:spacing w:val="-3"/>
          <w:sz w:val="28"/>
          <w:szCs w:val="28"/>
          <w:lang w:val="uk-UA"/>
        </w:rPr>
      </w:pPr>
      <w:r w:rsidRPr="00C76C4A">
        <w:rPr>
          <w:spacing w:val="-3"/>
          <w:sz w:val="28"/>
          <w:szCs w:val="28"/>
          <w:lang w:val="uk-UA"/>
        </w:rPr>
        <w:t>Керуючий справами (секретар)</w:t>
      </w:r>
    </w:p>
    <w:p w:rsidR="00EA0CCF" w:rsidRPr="0053485F" w:rsidRDefault="00EA0CCF" w:rsidP="00EA0CCF">
      <w:pPr>
        <w:autoSpaceDE w:val="0"/>
        <w:autoSpaceDN w:val="0"/>
        <w:rPr>
          <w:sz w:val="2"/>
          <w:szCs w:val="2"/>
          <w:lang w:val="uk-UA"/>
        </w:rPr>
      </w:pPr>
      <w:r w:rsidRPr="00C76C4A">
        <w:rPr>
          <w:spacing w:val="-3"/>
          <w:sz w:val="28"/>
          <w:szCs w:val="28"/>
          <w:lang w:val="uk-UA"/>
        </w:rPr>
        <w:t>виконавчого комітету</w:t>
      </w:r>
      <w:r>
        <w:rPr>
          <w:spacing w:val="-3"/>
          <w:sz w:val="28"/>
          <w:szCs w:val="28"/>
          <w:lang w:val="uk-UA"/>
        </w:rPr>
        <w:t xml:space="preserve">                                                                        Л.О.Набільська</w:t>
      </w:r>
    </w:p>
    <w:p w:rsidR="00EA0CCF" w:rsidRPr="003901DA" w:rsidRDefault="00EA0CCF" w:rsidP="0089216D">
      <w:pPr>
        <w:jc w:val="right"/>
        <w:rPr>
          <w:sz w:val="28"/>
          <w:lang w:val="uk-UA"/>
        </w:rPr>
      </w:pPr>
    </w:p>
    <w:p w:rsidR="0089216D" w:rsidRDefault="0089216D" w:rsidP="005D57C9">
      <w:pPr>
        <w:pStyle w:val="a6"/>
        <w:spacing w:after="120"/>
        <w:rPr>
          <w:sz w:val="28"/>
          <w:szCs w:val="28"/>
          <w:lang w:val="uk-UA"/>
        </w:rPr>
      </w:pPr>
    </w:p>
    <w:p w:rsidR="0089216D" w:rsidRDefault="0089216D" w:rsidP="005D57C9">
      <w:pPr>
        <w:pStyle w:val="a6"/>
        <w:spacing w:after="120"/>
        <w:rPr>
          <w:sz w:val="28"/>
          <w:szCs w:val="28"/>
          <w:lang w:val="uk-UA"/>
        </w:rPr>
      </w:pPr>
    </w:p>
    <w:sectPr w:rsidR="0089216D" w:rsidSect="001E0409">
      <w:pgSz w:w="11906" w:h="16838"/>
      <w:pgMar w:top="1134" w:right="991"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32E" w:rsidRDefault="00FF332E" w:rsidP="00242859">
      <w:r>
        <w:separator/>
      </w:r>
    </w:p>
  </w:endnote>
  <w:endnote w:type="continuationSeparator" w:id="1">
    <w:p w:rsidR="00FF332E" w:rsidRDefault="00FF332E" w:rsidP="00242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32E" w:rsidRDefault="00FF332E" w:rsidP="00242859">
      <w:r>
        <w:separator/>
      </w:r>
    </w:p>
  </w:footnote>
  <w:footnote w:type="continuationSeparator" w:id="1">
    <w:p w:rsidR="00FF332E" w:rsidRDefault="00FF332E" w:rsidP="00242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8">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3">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6">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8">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8"/>
  </w:num>
  <w:num w:numId="3">
    <w:abstractNumId w:val="18"/>
  </w:num>
  <w:num w:numId="4">
    <w:abstractNumId w:val="13"/>
  </w:num>
  <w:num w:numId="5">
    <w:abstractNumId w:val="4"/>
  </w:num>
  <w:num w:numId="6">
    <w:abstractNumId w:val="17"/>
  </w:num>
  <w:num w:numId="7">
    <w:abstractNumId w:val="0"/>
  </w:num>
  <w:num w:numId="8">
    <w:abstractNumId w:val="14"/>
  </w:num>
  <w:num w:numId="9">
    <w:abstractNumId w:val="15"/>
  </w:num>
  <w:num w:numId="10">
    <w:abstractNumId w:val="12"/>
  </w:num>
  <w:num w:numId="11">
    <w:abstractNumId w:val="3"/>
  </w:num>
  <w:num w:numId="12">
    <w:abstractNumId w:val="7"/>
  </w:num>
  <w:num w:numId="13">
    <w:abstractNumId w:val="2"/>
  </w:num>
  <w:num w:numId="14">
    <w:abstractNumId w:val="11"/>
  </w:num>
  <w:num w:numId="15">
    <w:abstractNumId w:val="9"/>
  </w:num>
  <w:num w:numId="16">
    <w:abstractNumId w:val="1"/>
  </w:num>
  <w:num w:numId="17">
    <w:abstractNumId w:val="1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167C0"/>
    <w:rsid w:val="000271C2"/>
    <w:rsid w:val="00042F5C"/>
    <w:rsid w:val="0009323F"/>
    <w:rsid w:val="00097579"/>
    <w:rsid w:val="000D30F9"/>
    <w:rsid w:val="000E6FD8"/>
    <w:rsid w:val="000F6555"/>
    <w:rsid w:val="00141AD4"/>
    <w:rsid w:val="00165E59"/>
    <w:rsid w:val="001807BA"/>
    <w:rsid w:val="00183827"/>
    <w:rsid w:val="00187E79"/>
    <w:rsid w:val="00197BC4"/>
    <w:rsid w:val="001B791F"/>
    <w:rsid w:val="001E0409"/>
    <w:rsid w:val="00212822"/>
    <w:rsid w:val="00234BD4"/>
    <w:rsid w:val="00242859"/>
    <w:rsid w:val="00243907"/>
    <w:rsid w:val="0024709E"/>
    <w:rsid w:val="002937E0"/>
    <w:rsid w:val="00293970"/>
    <w:rsid w:val="00294E2A"/>
    <w:rsid w:val="00295432"/>
    <w:rsid w:val="002A09AA"/>
    <w:rsid w:val="002B017E"/>
    <w:rsid w:val="002B1C10"/>
    <w:rsid w:val="002E07E7"/>
    <w:rsid w:val="002E7CE3"/>
    <w:rsid w:val="002F1CF5"/>
    <w:rsid w:val="002F3CD6"/>
    <w:rsid w:val="0032554C"/>
    <w:rsid w:val="00396864"/>
    <w:rsid w:val="003D2A91"/>
    <w:rsid w:val="003E1B47"/>
    <w:rsid w:val="003F128E"/>
    <w:rsid w:val="003F264E"/>
    <w:rsid w:val="004046E8"/>
    <w:rsid w:val="00452C36"/>
    <w:rsid w:val="004A0959"/>
    <w:rsid w:val="004B4E3A"/>
    <w:rsid w:val="004B5086"/>
    <w:rsid w:val="004D074D"/>
    <w:rsid w:val="004E12E5"/>
    <w:rsid w:val="0051412A"/>
    <w:rsid w:val="0053382B"/>
    <w:rsid w:val="005733D5"/>
    <w:rsid w:val="005924C8"/>
    <w:rsid w:val="005A5856"/>
    <w:rsid w:val="005B0F75"/>
    <w:rsid w:val="005B1692"/>
    <w:rsid w:val="005C4D76"/>
    <w:rsid w:val="005D57C9"/>
    <w:rsid w:val="005E2715"/>
    <w:rsid w:val="005F48EA"/>
    <w:rsid w:val="0064594D"/>
    <w:rsid w:val="00687FA5"/>
    <w:rsid w:val="006D2B9F"/>
    <w:rsid w:val="006F24EF"/>
    <w:rsid w:val="006F6E19"/>
    <w:rsid w:val="0070126D"/>
    <w:rsid w:val="007623DE"/>
    <w:rsid w:val="00766C7D"/>
    <w:rsid w:val="00774D89"/>
    <w:rsid w:val="00777ADE"/>
    <w:rsid w:val="00796BA7"/>
    <w:rsid w:val="007B3A67"/>
    <w:rsid w:val="007C7F90"/>
    <w:rsid w:val="007D10F6"/>
    <w:rsid w:val="007D21F7"/>
    <w:rsid w:val="007F6BF1"/>
    <w:rsid w:val="0082228A"/>
    <w:rsid w:val="00825F75"/>
    <w:rsid w:val="0084633D"/>
    <w:rsid w:val="008647EC"/>
    <w:rsid w:val="0089216D"/>
    <w:rsid w:val="0089604C"/>
    <w:rsid w:val="008C0D55"/>
    <w:rsid w:val="008C3C5D"/>
    <w:rsid w:val="008C6125"/>
    <w:rsid w:val="008D32D8"/>
    <w:rsid w:val="00917E1A"/>
    <w:rsid w:val="009246A2"/>
    <w:rsid w:val="009308E0"/>
    <w:rsid w:val="009B1CC7"/>
    <w:rsid w:val="009B5425"/>
    <w:rsid w:val="009C0414"/>
    <w:rsid w:val="009D3617"/>
    <w:rsid w:val="009D4D7B"/>
    <w:rsid w:val="009D67E7"/>
    <w:rsid w:val="009E40FB"/>
    <w:rsid w:val="00A23E2A"/>
    <w:rsid w:val="00A2657E"/>
    <w:rsid w:val="00A42B18"/>
    <w:rsid w:val="00A51E2D"/>
    <w:rsid w:val="00AB5E6F"/>
    <w:rsid w:val="00AB6B64"/>
    <w:rsid w:val="00AC1EB4"/>
    <w:rsid w:val="00AC6CA3"/>
    <w:rsid w:val="00AD33B3"/>
    <w:rsid w:val="00AD7E07"/>
    <w:rsid w:val="00AF145C"/>
    <w:rsid w:val="00B000A9"/>
    <w:rsid w:val="00B07A41"/>
    <w:rsid w:val="00B33331"/>
    <w:rsid w:val="00B55740"/>
    <w:rsid w:val="00BB40B4"/>
    <w:rsid w:val="00BB5F93"/>
    <w:rsid w:val="00BE2AE3"/>
    <w:rsid w:val="00BE7A6C"/>
    <w:rsid w:val="00C157F1"/>
    <w:rsid w:val="00C167C0"/>
    <w:rsid w:val="00C22F12"/>
    <w:rsid w:val="00C337B7"/>
    <w:rsid w:val="00C33DC9"/>
    <w:rsid w:val="00C55C35"/>
    <w:rsid w:val="00C6306C"/>
    <w:rsid w:val="00C9379F"/>
    <w:rsid w:val="00CA0C53"/>
    <w:rsid w:val="00CA348B"/>
    <w:rsid w:val="00CD5950"/>
    <w:rsid w:val="00D04507"/>
    <w:rsid w:val="00D21D6B"/>
    <w:rsid w:val="00D703EE"/>
    <w:rsid w:val="00D74398"/>
    <w:rsid w:val="00D83F99"/>
    <w:rsid w:val="00D9197C"/>
    <w:rsid w:val="00DA6294"/>
    <w:rsid w:val="00DD7FAF"/>
    <w:rsid w:val="00E172EF"/>
    <w:rsid w:val="00E76377"/>
    <w:rsid w:val="00E95222"/>
    <w:rsid w:val="00EA0CCF"/>
    <w:rsid w:val="00EA597C"/>
    <w:rsid w:val="00EB160A"/>
    <w:rsid w:val="00EC3F1B"/>
    <w:rsid w:val="00EE080C"/>
    <w:rsid w:val="00EE525C"/>
    <w:rsid w:val="00F22F1F"/>
    <w:rsid w:val="00F42F04"/>
    <w:rsid w:val="00F44A6A"/>
    <w:rsid w:val="00F6721F"/>
    <w:rsid w:val="00F677BB"/>
    <w:rsid w:val="00F711D4"/>
    <w:rsid w:val="00F91F50"/>
    <w:rsid w:val="00FF1A04"/>
    <w:rsid w:val="00FF33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table" w:styleId="ae">
    <w:name w:val="Table Grid"/>
    <w:basedOn w:val="a1"/>
    <w:rsid w:val="0089216D"/>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table" w:styleId="ae">
    <w:name w:val="Table Grid"/>
    <w:basedOn w:val="a1"/>
    <w:rsid w:val="0089216D"/>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C259A-0CD3-407E-987C-83DAFF670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397</Words>
  <Characters>2267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Людмила</cp:lastModifiedBy>
  <cp:revision>43</cp:revision>
  <cp:lastPrinted>2021-10-04T05:49:00Z</cp:lastPrinted>
  <dcterms:created xsi:type="dcterms:W3CDTF">2021-09-30T09:10:00Z</dcterms:created>
  <dcterms:modified xsi:type="dcterms:W3CDTF">2021-10-04T05:49:00Z</dcterms:modified>
</cp:coreProperties>
</file>